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1" w:rsidRPr="00F56C39" w:rsidRDefault="00A35231" w:rsidP="00A35231">
      <w:pPr>
        <w:pStyle w:val="2"/>
        <w:shd w:val="clear" w:color="auto" w:fill="auto"/>
        <w:spacing w:after="203" w:line="486" w:lineRule="exact"/>
        <w:ind w:left="20" w:right="60" w:firstLine="700"/>
        <w:jc w:val="both"/>
        <w:rPr>
          <w:b/>
        </w:rPr>
      </w:pPr>
      <w:r w:rsidRPr="00F56C39">
        <w:rPr>
          <w:b/>
        </w:rPr>
        <w:t>Таблица 1. Выбор ПС и обобщенных трудовых функций, сопряженных с ФГОС СПО</w:t>
      </w:r>
    </w:p>
    <w:p w:rsidR="00680A94" w:rsidRDefault="00680A94"/>
    <w:tbl>
      <w:tblPr>
        <w:tblStyle w:val="a6"/>
        <w:tblW w:w="14982" w:type="dxa"/>
        <w:tblInd w:w="40" w:type="dxa"/>
        <w:tblLook w:val="04A0" w:firstRow="1" w:lastRow="0" w:firstColumn="1" w:lastColumn="0" w:noHBand="0" w:noVBand="1"/>
      </w:tblPr>
      <w:tblGrid>
        <w:gridCol w:w="799"/>
        <w:gridCol w:w="3380"/>
        <w:gridCol w:w="10803"/>
      </w:tblGrid>
      <w:tr w:rsidR="00A35231" w:rsidRPr="00A35231" w:rsidTr="00A35231">
        <w:tc>
          <w:tcPr>
            <w:tcW w:w="799" w:type="dxa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35231">
              <w:rPr>
                <w:rStyle w:val="12pt"/>
              </w:rPr>
              <w:t>Шаг</w:t>
            </w:r>
          </w:p>
        </w:tc>
        <w:tc>
          <w:tcPr>
            <w:tcW w:w="3380" w:type="dxa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4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A35231">
              <w:rPr>
                <w:rStyle w:val="12pt"/>
              </w:rPr>
              <w:t>Объект анализа в ПС</w:t>
            </w:r>
          </w:p>
        </w:tc>
        <w:tc>
          <w:tcPr>
            <w:tcW w:w="10803" w:type="dxa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77" w:lineRule="exact"/>
              <w:jc w:val="center"/>
              <w:rPr>
                <w:b/>
                <w:sz w:val="24"/>
                <w:szCs w:val="24"/>
              </w:rPr>
            </w:pPr>
            <w:r w:rsidRPr="00A35231">
              <w:rPr>
                <w:rStyle w:val="12pt"/>
              </w:rPr>
              <w:t>Объект анализа во ФГОС СПО, признаки необходимости использования ПС для актуализации ФГОС СПО</w:t>
            </w:r>
          </w:p>
        </w:tc>
      </w:tr>
      <w:tr w:rsidR="00A35231" w:rsidRPr="00A35231" w:rsidTr="00A35231">
        <w:tc>
          <w:tcPr>
            <w:tcW w:w="799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1.</w:t>
            </w:r>
          </w:p>
        </w:tc>
        <w:tc>
          <w:tcPr>
            <w:tcW w:w="3380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Наименование ПС и вида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профессиональной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деятельности</w:t>
            </w:r>
          </w:p>
        </w:tc>
        <w:tc>
          <w:tcPr>
            <w:tcW w:w="10803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Одноименные, близкие по смыслу наименования ПС и специальности (профессии) среднего профессионального образования или соответствующие отношени</w:t>
            </w:r>
            <w:r>
              <w:rPr>
                <w:rStyle w:val="12pt"/>
                <w:b w:val="0"/>
              </w:rPr>
              <w:t xml:space="preserve">ю «родовое - видовое» («общее — </w:t>
            </w:r>
            <w:r w:rsidRPr="00A35231">
              <w:rPr>
                <w:rStyle w:val="12pt"/>
                <w:b w:val="0"/>
              </w:rPr>
              <w:t>частное»).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Для программ подготовки квалифициров</w:t>
            </w:r>
            <w:r>
              <w:rPr>
                <w:rStyle w:val="12pt"/>
                <w:b w:val="0"/>
              </w:rPr>
              <w:t>анных рабочих, служащих (далее —</w:t>
            </w:r>
            <w:r w:rsidRPr="00A35231">
              <w:rPr>
                <w:rStyle w:val="12pt"/>
                <w:b w:val="0"/>
              </w:rPr>
              <w:t xml:space="preserve"> ППКРС) также необходимо обратить внимание на наименование квалификации (профессий по </w:t>
            </w:r>
            <w:proofErr w:type="gramStart"/>
            <w:r w:rsidRPr="00A35231">
              <w:rPr>
                <w:rStyle w:val="12pt"/>
                <w:b w:val="0"/>
              </w:rPr>
              <w:t>ОК</w:t>
            </w:r>
            <w:proofErr w:type="gramEnd"/>
            <w:r w:rsidRPr="00A35231">
              <w:rPr>
                <w:rStyle w:val="12pt"/>
                <w:b w:val="0"/>
              </w:rPr>
              <w:t xml:space="preserve"> 016-94)</w:t>
            </w:r>
          </w:p>
        </w:tc>
      </w:tr>
      <w:tr w:rsidR="00A35231" w:rsidRPr="00A35231" w:rsidTr="00A35231">
        <w:trPr>
          <w:trHeight w:val="1607"/>
        </w:trPr>
        <w:tc>
          <w:tcPr>
            <w:tcW w:w="799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2.</w:t>
            </w:r>
          </w:p>
        </w:tc>
        <w:tc>
          <w:tcPr>
            <w:tcW w:w="3380" w:type="dxa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70" w:lineRule="exact"/>
              <w:ind w:left="14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Наименования обобщенной трудовой функции</w:t>
            </w:r>
            <w:r w:rsidRPr="00A35231">
              <w:rPr>
                <w:sz w:val="24"/>
                <w:szCs w:val="24"/>
              </w:rPr>
              <w:t xml:space="preserve"> </w:t>
            </w:r>
            <w:r w:rsidRPr="00A35231">
              <w:rPr>
                <w:rStyle w:val="12pt"/>
                <w:b w:val="0"/>
              </w:rPr>
              <w:t xml:space="preserve">(при необходимости </w:t>
            </w:r>
            <w:r w:rsidRPr="00A35231">
              <w:rPr>
                <w:rStyle w:val="12pt"/>
                <w:b w:val="0"/>
              </w:rPr>
              <w:t xml:space="preserve">— </w:t>
            </w:r>
            <w:r w:rsidRPr="00A35231">
              <w:rPr>
                <w:rStyle w:val="12pt"/>
                <w:b w:val="0"/>
              </w:rPr>
              <w:t>трудовой функции), возможные наименования должностей</w:t>
            </w:r>
          </w:p>
        </w:tc>
        <w:tc>
          <w:tcPr>
            <w:tcW w:w="10803" w:type="dxa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Соответствие обобщенной трудовой функции направленности (профилю) ОПОП: области профессиональной деятельности, указанной во ФГОС СПО (при необходимости уточнить</w:t>
            </w:r>
            <w:r>
              <w:rPr>
                <w:rStyle w:val="12pt"/>
                <w:b w:val="0"/>
              </w:rPr>
              <w:t xml:space="preserve"> </w:t>
            </w:r>
            <w:r w:rsidRPr="00A35231">
              <w:rPr>
                <w:rStyle w:val="12pt"/>
                <w:b w:val="0"/>
              </w:rPr>
              <w:t>область профессиональной деятельности рекомендуетс</w:t>
            </w:r>
            <w:bookmarkStart w:id="0" w:name="_GoBack"/>
            <w:bookmarkEnd w:id="0"/>
            <w:r w:rsidRPr="00A35231">
              <w:rPr>
                <w:rStyle w:val="12pt"/>
                <w:b w:val="0"/>
              </w:rPr>
              <w:t>я обратиться к перечню видов деятельности).</w:t>
            </w:r>
          </w:p>
          <w:p w:rsidR="00A35231" w:rsidRPr="00A35231" w:rsidRDefault="00A35231" w:rsidP="00CD1804">
            <w:pPr>
              <w:pStyle w:val="2"/>
              <w:spacing w:line="277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Подсказкой при выборе обобщенной трудовой функции может служить соответствие возможных наименований должностей квалификации, присваиваемой в соответствии с ФГОС СПО</w:t>
            </w:r>
          </w:p>
        </w:tc>
      </w:tr>
      <w:tr w:rsidR="00A35231" w:rsidRPr="00A35231" w:rsidTr="00A35231">
        <w:tc>
          <w:tcPr>
            <w:tcW w:w="799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3.</w:t>
            </w:r>
          </w:p>
        </w:tc>
        <w:tc>
          <w:tcPr>
            <w:tcW w:w="3380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ind w:left="10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Уровень квалификации выбранных обобщенных трудовых функций</w:t>
            </w:r>
          </w:p>
        </w:tc>
        <w:tc>
          <w:tcPr>
            <w:tcW w:w="10803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Соответствие уровня квалификации</w:t>
            </w:r>
            <w:r w:rsidRPr="00A35231">
              <w:rPr>
                <w:rStyle w:val="12pt"/>
                <w:b w:val="0"/>
                <w:vertAlign w:val="superscript"/>
              </w:rPr>
              <w:footnoteReference w:id="1"/>
            </w:r>
            <w:r w:rsidRPr="00A35231">
              <w:rPr>
                <w:rStyle w:val="12pt"/>
                <w:b w:val="0"/>
              </w:rPr>
              <w:t xml:space="preserve"> возможностям образовательной программы СПО: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ind w:firstLine="400"/>
              <w:jc w:val="both"/>
              <w:rPr>
                <w:sz w:val="24"/>
                <w:szCs w:val="24"/>
              </w:rPr>
            </w:pPr>
            <w:r>
              <w:rPr>
                <w:rStyle w:val="12pt"/>
                <w:b w:val="0"/>
              </w:rPr>
              <w:t>ППКРС —</w:t>
            </w:r>
            <w:r w:rsidRPr="00A35231">
              <w:rPr>
                <w:rStyle w:val="12pt"/>
                <w:b w:val="0"/>
              </w:rPr>
              <w:t xml:space="preserve"> как правило, 4 уровень;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ind w:firstLine="400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ППССЗ: б</w:t>
            </w:r>
            <w:r>
              <w:rPr>
                <w:rStyle w:val="12pt"/>
                <w:b w:val="0"/>
              </w:rPr>
              <w:t>азовая подготовка —</w:t>
            </w:r>
            <w:r w:rsidRPr="00A35231">
              <w:rPr>
                <w:rStyle w:val="12pt"/>
                <w:b w:val="0"/>
              </w:rPr>
              <w:t xml:space="preserve"> как правило, 5 уровень, углубленная подготовка может обеспечивать 6 уровень (необходимо дифферен</w:t>
            </w:r>
            <w:r>
              <w:rPr>
                <w:rStyle w:val="12pt"/>
                <w:b w:val="0"/>
              </w:rPr>
              <w:t>цировать с высшим образованием —</w:t>
            </w:r>
            <w:r w:rsidRPr="00A35231">
              <w:rPr>
                <w:rStyle w:val="12pt"/>
                <w:b w:val="0"/>
              </w:rPr>
              <w:t xml:space="preserve"> программами </w:t>
            </w:r>
            <w:proofErr w:type="spellStart"/>
            <w:r w:rsidRPr="00A35231">
              <w:rPr>
                <w:rStyle w:val="12pt"/>
                <w:b w:val="0"/>
              </w:rPr>
              <w:t>бакалавриата</w:t>
            </w:r>
            <w:proofErr w:type="spellEnd"/>
            <w:r w:rsidRPr="00A35231">
              <w:rPr>
                <w:rStyle w:val="12pt"/>
                <w:b w:val="0"/>
              </w:rPr>
              <w:t>).</w:t>
            </w:r>
          </w:p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В рамках программы могут осваиваться и обобщенные трудовые функции (трудовые функции) более низкого уровня, например, связанные с выполнением подготовительных и вспомогательных работ или с освоением профессии рабочего в рамках ППССЗ</w:t>
            </w:r>
          </w:p>
        </w:tc>
      </w:tr>
      <w:tr w:rsidR="00A35231" w:rsidRPr="00A35231" w:rsidTr="00A35231">
        <w:tc>
          <w:tcPr>
            <w:tcW w:w="799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4.</w:t>
            </w:r>
          </w:p>
        </w:tc>
        <w:tc>
          <w:tcPr>
            <w:tcW w:w="3380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ind w:left="10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Требования к образованию, необходимому для выполнения выбранных обобщенных трудовых функций</w:t>
            </w:r>
          </w:p>
        </w:tc>
        <w:tc>
          <w:tcPr>
            <w:tcW w:w="10803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Указано СПО, освоения дополнител</w:t>
            </w:r>
            <w:r>
              <w:rPr>
                <w:rStyle w:val="12pt"/>
                <w:b w:val="0"/>
              </w:rPr>
              <w:t>ьных профессиональных программ —</w:t>
            </w:r>
            <w:r w:rsidRPr="00A35231">
              <w:rPr>
                <w:rStyle w:val="12pt"/>
                <w:b w:val="0"/>
              </w:rPr>
              <w:t xml:space="preserve"> программ повышения квалификации, как правило, не требуется</w:t>
            </w:r>
          </w:p>
        </w:tc>
      </w:tr>
      <w:tr w:rsidR="00A35231" w:rsidRPr="00A35231" w:rsidTr="00A35231">
        <w:tc>
          <w:tcPr>
            <w:tcW w:w="799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5.</w:t>
            </w:r>
          </w:p>
        </w:tc>
        <w:tc>
          <w:tcPr>
            <w:tcW w:w="3380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77" w:lineRule="exact"/>
              <w:ind w:left="100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Требования к опыту практической работы для выполнения обобщенных трудовых функций</w:t>
            </w:r>
          </w:p>
        </w:tc>
        <w:tc>
          <w:tcPr>
            <w:tcW w:w="10803" w:type="dxa"/>
          </w:tcPr>
          <w:p w:rsidR="00A35231" w:rsidRPr="00A35231" w:rsidRDefault="00A35231" w:rsidP="00CD1804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A35231">
              <w:rPr>
                <w:rStyle w:val="12pt"/>
                <w:b w:val="0"/>
              </w:rPr>
              <w:t>Как правило, отсутствуют</w:t>
            </w:r>
          </w:p>
        </w:tc>
      </w:tr>
      <w:tr w:rsidR="00A35231" w:rsidRPr="00A35231" w:rsidTr="003E5D6B">
        <w:tc>
          <w:tcPr>
            <w:tcW w:w="799" w:type="dxa"/>
          </w:tcPr>
          <w:p w:rsidR="00A35231" w:rsidRPr="00A35231" w:rsidRDefault="00A35231" w:rsidP="00CD1804"/>
        </w:tc>
        <w:tc>
          <w:tcPr>
            <w:tcW w:w="14183" w:type="dxa"/>
            <w:gridSpan w:val="2"/>
          </w:tcPr>
          <w:p w:rsidR="00A35231" w:rsidRPr="00A35231" w:rsidRDefault="00A35231" w:rsidP="00A35231">
            <w:pPr>
              <w:pStyle w:val="2"/>
              <w:shd w:val="clear" w:color="auto" w:fill="auto"/>
              <w:spacing w:line="281" w:lineRule="exact"/>
              <w:ind w:left="100"/>
              <w:rPr>
                <w:sz w:val="24"/>
                <w:szCs w:val="24"/>
              </w:rPr>
            </w:pPr>
            <w:r w:rsidRPr="00A35231">
              <w:rPr>
                <w:rStyle w:val="12pt"/>
              </w:rPr>
              <w:t>Выводы:</w:t>
            </w:r>
            <w:r w:rsidRPr="00A35231">
              <w:rPr>
                <w:rStyle w:val="12pt"/>
                <w:b w:val="0"/>
              </w:rPr>
              <w:t xml:space="preserve"> указываются ПС и входящие в их состав обобщенные трудовые функции,  в ча</w:t>
            </w:r>
            <w:r>
              <w:rPr>
                <w:rStyle w:val="12pt"/>
                <w:b w:val="0"/>
              </w:rPr>
              <w:t>сти которых ФГОС СПО</w:t>
            </w:r>
            <w:r w:rsidRPr="00A35231">
              <w:rPr>
                <w:rStyle w:val="12pt"/>
                <w:b w:val="0"/>
              </w:rPr>
              <w:t xml:space="preserve"> должен быть сопоставлен с ПС</w:t>
            </w:r>
          </w:p>
        </w:tc>
      </w:tr>
    </w:tbl>
    <w:p w:rsidR="00A35231" w:rsidRDefault="00A35231"/>
    <w:sectPr w:rsidR="00A35231" w:rsidSect="00A3523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60" w:rsidRDefault="00465260" w:rsidP="00A35231">
      <w:r>
        <w:separator/>
      </w:r>
    </w:p>
  </w:endnote>
  <w:endnote w:type="continuationSeparator" w:id="0">
    <w:p w:rsidR="00465260" w:rsidRDefault="00465260" w:rsidP="00A3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60" w:rsidRDefault="00465260" w:rsidP="00A35231">
      <w:r>
        <w:separator/>
      </w:r>
    </w:p>
  </w:footnote>
  <w:footnote w:type="continuationSeparator" w:id="0">
    <w:p w:rsidR="00465260" w:rsidRDefault="00465260" w:rsidP="00A35231">
      <w:r>
        <w:continuationSeparator/>
      </w:r>
    </w:p>
  </w:footnote>
  <w:footnote w:id="1">
    <w:p w:rsidR="00A35231" w:rsidRDefault="00A35231" w:rsidP="00A35231">
      <w:pPr>
        <w:pStyle w:val="a4"/>
        <w:shd w:val="clear" w:color="auto" w:fill="auto"/>
        <w:tabs>
          <w:tab w:val="left" w:pos="191"/>
        </w:tabs>
        <w:ind w:left="40" w:right="20"/>
      </w:pPr>
      <w:r>
        <w:rPr>
          <w:vertAlign w:val="superscript"/>
        </w:rPr>
        <w:footnoteRef/>
      </w:r>
      <w:r>
        <w:tab/>
        <w:t>Уровень квалификации в ПС определяется в соответствии с характеристиками, содержащимися в Уровнях квалификации в целях разработки проектов профессиональных стандартов, утвержденных приказом Министерства труда и социальной защиты Российской Федерации от 12 апреля 2013 г. № 148н (зарегистрирован Министерством юстиции Российской Федерации 27 мая 2013 г., регистрационный № 28534).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BA"/>
    <w:rsid w:val="00465260"/>
    <w:rsid w:val="00680A94"/>
    <w:rsid w:val="00A35231"/>
    <w:rsid w:val="00F56C39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352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basedOn w:val="a0"/>
    <w:link w:val="2"/>
    <w:rsid w:val="00A3523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A3523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A352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A3523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table" w:styleId="a6">
    <w:name w:val="Table Grid"/>
    <w:basedOn w:val="a1"/>
    <w:uiPriority w:val="59"/>
    <w:rsid w:val="00A352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352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basedOn w:val="a0"/>
    <w:link w:val="2"/>
    <w:rsid w:val="00A3523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A3523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A352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A3523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table" w:styleId="a6">
    <w:name w:val="Table Grid"/>
    <w:basedOn w:val="a1"/>
    <w:uiPriority w:val="59"/>
    <w:rsid w:val="00A352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Шаврина Нина Евгеньевна</dc:creator>
  <cp:keywords/>
  <dc:description/>
  <cp:lastModifiedBy>Шаврина Нина Евгеньевна</cp:lastModifiedBy>
  <cp:revision>5</cp:revision>
  <dcterms:created xsi:type="dcterms:W3CDTF">2015-09-24T06:51:00Z</dcterms:created>
  <dcterms:modified xsi:type="dcterms:W3CDTF">2015-09-24T06:58:00Z</dcterms:modified>
</cp:coreProperties>
</file>