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A6" w:rsidRDefault="0037425B" w:rsidP="004243A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792">
        <w:rPr>
          <w:rFonts w:ascii="Times New Roman" w:hAnsi="Times New Roman" w:cs="Times New Roman"/>
          <w:b/>
          <w:sz w:val="32"/>
          <w:szCs w:val="32"/>
        </w:rPr>
        <w:t>Текст</w:t>
      </w:r>
      <w:r w:rsidR="00DD32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0792">
        <w:rPr>
          <w:rFonts w:ascii="Times New Roman" w:hAnsi="Times New Roman" w:cs="Times New Roman"/>
          <w:b/>
          <w:sz w:val="32"/>
          <w:szCs w:val="32"/>
        </w:rPr>
        <w:t>для</w:t>
      </w:r>
      <w:r w:rsidR="00DD32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0792">
        <w:rPr>
          <w:rFonts w:ascii="Times New Roman" w:hAnsi="Times New Roman" w:cs="Times New Roman"/>
          <w:b/>
          <w:sz w:val="32"/>
          <w:szCs w:val="32"/>
        </w:rPr>
        <w:t>учителя</w:t>
      </w:r>
    </w:p>
    <w:p w:rsidR="00DD321C" w:rsidRPr="00CD69AD" w:rsidRDefault="00DD321C" w:rsidP="00CD69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межатомными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состояниями.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фазу,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концентрациях.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жидком,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газообразном.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фазах.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равновесием.</w:t>
      </w:r>
    </w:p>
    <w:p w:rsidR="002A0AA6" w:rsidRPr="00876280" w:rsidRDefault="00283FAC" w:rsidP="009E3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B5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процесс</w:t>
      </w:r>
      <w:r w:rsidR="00DD321C" w:rsidRPr="009E3B5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E3B5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конденсация.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покидающих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возвращающихся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превышающие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понизится</w:t>
      </w:r>
      <w:proofErr w:type="gramEnd"/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CE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 w:rsidR="00DD3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0AA6" w:rsidRPr="00CE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DD3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2A0AA6" w:rsidRPr="00CE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rт</w:t>
      </w:r>
      <w:proofErr w:type="spellEnd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CE07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парообразования,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парообразования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10–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теплового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6,06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9AD" w:rsidRPr="00CD69AD">
        <w:rPr>
          <w:rFonts w:ascii="Cambria Math" w:hAnsi="Cambria Math" w:cs="Cambria Math"/>
          <w:shd w:val="clear" w:color="auto" w:fill="FFFFFF"/>
        </w:rPr>
        <w:t>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10-21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="009E3B5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87628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тепловом</w:t>
      </w:r>
      <w:r w:rsidR="00DD321C" w:rsidRPr="0087628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2A0AA6" w:rsidRPr="0087628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равновесии</w:t>
      </w:r>
      <w:r w:rsidR="00DD321C" w:rsidRPr="0087628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="002A0AA6" w:rsidRPr="00876280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равны.</w:t>
      </w:r>
    </w:p>
    <w:p w:rsidR="002A0AA6" w:rsidRPr="002A0AA6" w:rsidRDefault="00283FAC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жидкостью.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Мариотта,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гидросферы,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(круговорот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воды)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CE07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осадков.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увлекаемый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конвекционным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тропосферы.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насыщенным,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конденсируется,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тропосфер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1,6–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1022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вырабатываемую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всплывания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пузырьков,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кипящей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9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7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шкале).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закипае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тропосферы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(17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км)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A2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тяготения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(ускорение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B5D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м/с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мгновенно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выкипает,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«моря»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застывшей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марсианские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«каналы».</w:t>
      </w:r>
    </w:p>
    <w:p w:rsidR="002A0AA6" w:rsidRPr="002A0AA6" w:rsidRDefault="002A0AA6" w:rsidP="00001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фазах.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сжижении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угодно,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р,</w:t>
      </w:r>
      <w:r w:rsidR="00DD3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Клаузиуса</w:t>
      </w:r>
      <w:proofErr w:type="spellEnd"/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возгонки,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соединяются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р,</w:t>
      </w:r>
      <w:r w:rsidR="00DD3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 w:rsidRPr="003A2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</w:t>
      </w:r>
      <w:r w:rsidR="00DD321C" w:rsidRPr="003A2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5461" w:rsidRPr="003A2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DD321C" w:rsidRPr="003A2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5461" w:rsidRPr="003A2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7.1),</w:t>
      </w:r>
      <w:r w:rsidR="00DD321C" w:rsidRPr="003A2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пропорциях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569,24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0,0075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  <w:r w:rsidR="0000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5,18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9F" w:rsidRPr="00CD69AD">
        <w:rPr>
          <w:rFonts w:ascii="Cambria Math" w:hAnsi="Cambria Math" w:cs="Cambria Math"/>
          <w:shd w:val="clear" w:color="auto" w:fill="FFFFFF"/>
        </w:rPr>
        <w:t>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56,6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одинаковыми.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374,2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р</w:t>
      </w:r>
      <w:r w:rsidR="00DD321C" w:rsidRP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=</w:t>
      </w:r>
      <w:r w:rsidR="00DD321C" w:rsidRP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22,12</w:t>
      </w:r>
      <w:r w:rsid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DD321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МПа;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°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7,71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слабее,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парообразования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плавления,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возгонки).</w:t>
      </w:r>
    </w:p>
    <w:p w:rsidR="002A0AA6" w:rsidRPr="002A0AA6" w:rsidRDefault="002C5461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хвостов.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десублимации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процесса)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Вырывающиеся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газопылевой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3A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озникает.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перигелии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ничтожны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сублимируют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рассыпаю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комет.</w:t>
      </w:r>
    </w:p>
    <w:p w:rsidR="002A0AA6" w:rsidRPr="002A0AA6" w:rsidRDefault="002A0AA6" w:rsidP="00001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Галлея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«Вега-1»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«Вега-2»,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Джотто</w:t>
      </w:r>
      <w:proofErr w:type="spellEnd"/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 w:rsidRPr="004F3CA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×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км,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сублимировало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A0AA6" w:rsidRPr="002A0AA6" w:rsidRDefault="002A0AA6" w:rsidP="00DD3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похолодание,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десублимировавшиеся</w:t>
      </w:r>
      <w:proofErr w:type="spellEnd"/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мороженого,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охлаждается,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уносят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энергию.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сублимации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десублимации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углекислоты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гидросфере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</w:p>
    <w:p w:rsidR="002A0AA6" w:rsidRPr="002A0AA6" w:rsidRDefault="005D51DD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сверхнизких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температурах,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Нернст.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роенная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Эйнштейном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теплоёмкости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Нернста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рхтекучесть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сверхпроводимость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макроскопические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Фазовыми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перехода;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превращения.</w:t>
      </w:r>
    </w:p>
    <w:p w:rsidR="002A0AA6" w:rsidRPr="002A0AA6" w:rsidRDefault="002A0AA6" w:rsidP="00001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конденсированной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кристаллической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плавлении)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парообразовании).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сцепления,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беспорядка,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теплота.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симметрией,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1937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Ландау.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магнетике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хаотически,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</w:t>
      </w:r>
      <w:r w:rsidR="0084352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</w:t>
      </w:r>
      <w:r w:rsidR="00843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52F">
        <w:rPr>
          <w:rFonts w:ascii="Times New Roman" w:eastAsia="Times New Roman" w:hAnsi="Times New Roman" w:cs="Times New Roman"/>
          <w:sz w:val="28"/>
          <w:szCs w:val="28"/>
          <w:lang w:eastAsia="ru-RU"/>
        </w:rPr>
        <w:t>ввё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степеням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сверхтекучести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сверхпроводимости.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Ландау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Лифшиц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сегнетоэлектрика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параэлектрик,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ферромагнетика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парамагнетик,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сверхпроводящее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2A0AA6" w:rsidRPr="002A0AA6" w:rsidRDefault="0084352F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1925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</w:t>
      </w:r>
      <w:proofErr w:type="spellEnd"/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ферромагнетика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одномерной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соседями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двумерная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Изинга</w:t>
      </w:r>
      <w:proofErr w:type="spellEnd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удавалось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неучтё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(частицы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магниты).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1944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Онсагер</w:t>
      </w:r>
      <w:proofErr w:type="spellEnd"/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двумерной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Изинга</w:t>
      </w:r>
      <w:proofErr w:type="spellEnd"/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соседом.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теплоё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логарифмическому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Онсагера</w:t>
      </w:r>
      <w:proofErr w:type="spellEnd"/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A6"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превращений.</w:t>
      </w: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физика-теоретика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Эренфеста.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2A0AA6" w:rsidRDefault="002A0AA6" w:rsidP="00001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70-е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рассматривалась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меняющимся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позволяло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физик-теоретик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скачок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перестройкой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механику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ментальное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применимы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горения,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электронике,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взаимодействий.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Вильсон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фазовых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</w:t>
      </w:r>
    </w:p>
    <w:p w:rsidR="00001B1A" w:rsidRPr="002A0AA6" w:rsidRDefault="00001B1A" w:rsidP="00001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A6" w:rsidRPr="002A0AA6" w:rsidRDefault="002A0AA6" w:rsidP="00424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="00DD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2A0A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https://lektsia.com/6x9884.html</w:t>
        </w:r>
      </w:hyperlink>
      <w:r w:rsidR="00DD5DE3" w:rsidRPr="00DD5DE3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sectPr w:rsidR="002A0AA6" w:rsidRPr="002A0AA6" w:rsidSect="00876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A8" w:rsidRDefault="00EF2FA8" w:rsidP="000716C4">
      <w:pPr>
        <w:spacing w:after="0" w:line="240" w:lineRule="auto"/>
      </w:pPr>
      <w:r>
        <w:separator/>
      </w:r>
    </w:p>
  </w:endnote>
  <w:endnote w:type="continuationSeparator" w:id="0">
    <w:p w:rsidR="00EF2FA8" w:rsidRDefault="00EF2FA8" w:rsidP="0007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C" w:rsidRDefault="00283F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C" w:rsidRDefault="00283F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C" w:rsidRDefault="00283F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A8" w:rsidRDefault="00EF2FA8" w:rsidP="000716C4">
      <w:pPr>
        <w:spacing w:after="0" w:line="240" w:lineRule="auto"/>
      </w:pPr>
      <w:r>
        <w:separator/>
      </w:r>
    </w:p>
  </w:footnote>
  <w:footnote w:type="continuationSeparator" w:id="0">
    <w:p w:rsidR="00EF2FA8" w:rsidRDefault="00EF2FA8" w:rsidP="0007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C" w:rsidRDefault="00283F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C" w:rsidRDefault="00283FA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C" w:rsidRDefault="00283F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014"/>
    <w:multiLevelType w:val="hybridMultilevel"/>
    <w:tmpl w:val="6FE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C2D"/>
    <w:multiLevelType w:val="hybridMultilevel"/>
    <w:tmpl w:val="8B2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3AF8"/>
    <w:multiLevelType w:val="hybridMultilevel"/>
    <w:tmpl w:val="D304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7BB9"/>
    <w:multiLevelType w:val="hybridMultilevel"/>
    <w:tmpl w:val="94A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5D6"/>
    <w:multiLevelType w:val="multilevel"/>
    <w:tmpl w:val="50F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15817"/>
    <w:multiLevelType w:val="multilevel"/>
    <w:tmpl w:val="5BE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13CFC"/>
    <w:multiLevelType w:val="multilevel"/>
    <w:tmpl w:val="B710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C07C3"/>
    <w:multiLevelType w:val="hybridMultilevel"/>
    <w:tmpl w:val="E6BC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6"/>
    <w:rsid w:val="00001B1A"/>
    <w:rsid w:val="00055ECD"/>
    <w:rsid w:val="000716C4"/>
    <w:rsid w:val="000B648C"/>
    <w:rsid w:val="00166B14"/>
    <w:rsid w:val="001C6B70"/>
    <w:rsid w:val="001E168D"/>
    <w:rsid w:val="00283FAC"/>
    <w:rsid w:val="002A0AA6"/>
    <w:rsid w:val="002C5461"/>
    <w:rsid w:val="0035542E"/>
    <w:rsid w:val="0035659E"/>
    <w:rsid w:val="0037425B"/>
    <w:rsid w:val="0039766A"/>
    <w:rsid w:val="003A209F"/>
    <w:rsid w:val="003B04A4"/>
    <w:rsid w:val="003B1135"/>
    <w:rsid w:val="0040039C"/>
    <w:rsid w:val="004243A1"/>
    <w:rsid w:val="004400C7"/>
    <w:rsid w:val="004806D1"/>
    <w:rsid w:val="00485558"/>
    <w:rsid w:val="004F3CA6"/>
    <w:rsid w:val="00503768"/>
    <w:rsid w:val="00585016"/>
    <w:rsid w:val="005D2394"/>
    <w:rsid w:val="005D51DD"/>
    <w:rsid w:val="00626C48"/>
    <w:rsid w:val="0063385E"/>
    <w:rsid w:val="00647A8C"/>
    <w:rsid w:val="00680588"/>
    <w:rsid w:val="006F41F6"/>
    <w:rsid w:val="007028FB"/>
    <w:rsid w:val="00733E2A"/>
    <w:rsid w:val="00741F79"/>
    <w:rsid w:val="008238F3"/>
    <w:rsid w:val="00834D07"/>
    <w:rsid w:val="0084352F"/>
    <w:rsid w:val="008652BB"/>
    <w:rsid w:val="00876280"/>
    <w:rsid w:val="008E2EB4"/>
    <w:rsid w:val="00912167"/>
    <w:rsid w:val="00996C3F"/>
    <w:rsid w:val="009E3B5D"/>
    <w:rsid w:val="00A219F6"/>
    <w:rsid w:val="00AD241D"/>
    <w:rsid w:val="00B00559"/>
    <w:rsid w:val="00B95C29"/>
    <w:rsid w:val="00BF700B"/>
    <w:rsid w:val="00C33C31"/>
    <w:rsid w:val="00C5322E"/>
    <w:rsid w:val="00CA0899"/>
    <w:rsid w:val="00CD69AD"/>
    <w:rsid w:val="00CE0792"/>
    <w:rsid w:val="00D35E38"/>
    <w:rsid w:val="00D706B6"/>
    <w:rsid w:val="00DD321C"/>
    <w:rsid w:val="00DD5DE3"/>
    <w:rsid w:val="00E82600"/>
    <w:rsid w:val="00EB1869"/>
    <w:rsid w:val="00E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45070-172F-40B7-8ED1-6D670FF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3E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3E2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26C48"/>
    <w:rPr>
      <w:b/>
      <w:bCs/>
    </w:rPr>
  </w:style>
  <w:style w:type="character" w:styleId="a8">
    <w:name w:val="Emphasis"/>
    <w:basedOn w:val="a0"/>
    <w:uiPriority w:val="20"/>
    <w:qFormat/>
    <w:rsid w:val="00626C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C4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7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16C4"/>
  </w:style>
  <w:style w:type="paragraph" w:styleId="ad">
    <w:name w:val="footer"/>
    <w:basedOn w:val="a"/>
    <w:link w:val="ae"/>
    <w:uiPriority w:val="99"/>
    <w:unhideWhenUsed/>
    <w:rsid w:val="0007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16C4"/>
  </w:style>
  <w:style w:type="character" w:customStyle="1" w:styleId="term">
    <w:name w:val="term"/>
    <w:basedOn w:val="a0"/>
    <w:rsid w:val="00C5322E"/>
  </w:style>
  <w:style w:type="character" w:customStyle="1" w:styleId="em">
    <w:name w:val="em"/>
    <w:basedOn w:val="a0"/>
    <w:rsid w:val="00C5322E"/>
  </w:style>
  <w:style w:type="character" w:customStyle="1" w:styleId="number">
    <w:name w:val="number"/>
    <w:basedOn w:val="a0"/>
    <w:rsid w:val="00C5322E"/>
  </w:style>
  <w:style w:type="character" w:customStyle="1" w:styleId="formula">
    <w:name w:val="formula"/>
    <w:basedOn w:val="a0"/>
    <w:rsid w:val="00C5322E"/>
  </w:style>
  <w:style w:type="character" w:customStyle="1" w:styleId="m">
    <w:name w:val="m"/>
    <w:basedOn w:val="a0"/>
    <w:rsid w:val="00C5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a.com/6x9884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6497-984B-49E9-B02A-F5DFC0F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 Леонид</dc:creator>
  <cp:keywords/>
  <dc:description/>
  <cp:lastModifiedBy>Татьяна Федоровна Карповец</cp:lastModifiedBy>
  <cp:revision>24</cp:revision>
  <dcterms:created xsi:type="dcterms:W3CDTF">2018-02-28T10:36:00Z</dcterms:created>
  <dcterms:modified xsi:type="dcterms:W3CDTF">2018-11-28T11:24:00Z</dcterms:modified>
</cp:coreProperties>
</file>